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Capital Readiness Checklist</w:t>
      </w:r>
    </w:p>
    <w:p>
      <w:pPr>
        <w:spacing w:after="120"/>
      </w:pPr>
      <w:r>
        <w:rPr>
          <w:rFonts w:ascii="Arial" w:cs="Arial" w:eastAsia="Arial" w:hAnsi="Arial"/>
          <w:color w:val="444444"/>
          <w:sz w:val="21"/>
          <w:szCs w:val="21"/>
        </w:rPr>
        <w:t xml:space="preserve">A quick self-check across the six areas lenders and investors examine. Each item you cannot tick is a preparation task.</w:t>
      </w:r>
    </w:p>
    <w:p>
      <w:pPr>
        <w:spacing w:after="120"/>
      </w:pPr>
      <w:r>
        <w:rPr>
          <w:rFonts w:ascii="Arial" w:cs="Arial" w:eastAsia="Arial" w:hAnsi="Arial"/>
          <w:i/>
          <w:iCs/>
          <w:color w:val="777777"/>
          <w:sz w:val="17"/>
          <w:szCs w:val="17"/>
        </w:rPr>
        <w:t xml:space="preserve">Version 1.0 · October 12, 2026 · Reviewer: José Javier Pagán-Ortiz, CPA (pending review)</w:t>
      </w:r>
    </w:p>
    <w:p>
      <w:pPr>
        <w:pStyle w:val="Heading1"/>
        <w:spacing w:after="120" w:before="280"/>
      </w:pPr>
      <w:r>
        <w:t xml:space="preserve">How to use this checklist</w:t>
      </w:r>
    </w:p>
    <w:p>
      <w:pPr>
        <w:pStyle w:val="ListParagraph"/>
        <w:numPr>
          <w:ilvl w:val="0"/>
          <w:numId w:val="2"/>
        </w:numPr>
        <w:spacing w:after="60"/>
      </w:pPr>
      <w:r>
        <w:rPr>
          <w:rFonts w:ascii="Arial" w:cs="Arial" w:eastAsia="Arial" w:hAnsi="Arial"/>
          <w:sz w:val="21"/>
          <w:szCs w:val="21"/>
        </w:rPr>
        <w:t xml:space="preserve">Answer honestly: tick an item only if you could show evidence today.</w:t>
      </w:r>
    </w:p>
    <w:p>
      <w:pPr>
        <w:pStyle w:val="ListParagraph"/>
        <w:numPr>
          <w:ilvl w:val="0"/>
          <w:numId w:val="2"/>
        </w:numPr>
        <w:spacing w:after="60"/>
      </w:pPr>
      <w:r>
        <w:rPr>
          <w:rFonts w:ascii="Arial" w:cs="Arial" w:eastAsia="Arial" w:hAnsi="Arial"/>
          <w:sz w:val="21"/>
          <w:szCs w:val="21"/>
        </w:rPr>
        <w:t xml:space="preserve">Unticked items become your preparation list. Start with financial records and cash flow — they affect everything else.</w:t>
      </w:r>
    </w:p>
    <w:p>
      <w:pPr>
        <w:pStyle w:val="ListParagraph"/>
        <w:numPr>
          <w:ilvl w:val="0"/>
          <w:numId w:val="2"/>
        </w:numPr>
        <w:spacing w:after="60"/>
      </w:pPr>
      <w:r>
        <w:rPr>
          <w:rFonts w:ascii="Arial" w:cs="Arial" w:eastAsia="Arial" w:hAnsi="Arial"/>
          <w:sz w:val="21"/>
          <w:szCs w:val="21"/>
        </w:rPr>
        <w:t xml:space="preserve">For a scored result, take the free Capital Readiness Assessment at capital-blueprint-pro.com.</w:t>
      </w:r>
    </w:p>
    <w:p>
      <w:pPr>
        <w:pStyle w:val="Heading1"/>
        <w:spacing w:after="120" w:before="280"/>
      </w:pPr>
      <w:r>
        <w:t xml:space="preserve">1. Financial records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4399"/>
        <w:gridCol w:w="439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Readiness item</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Why it matters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Books are reconciled to bank statements every month</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Lenders rely on numbers that match the bank</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Year-end financial statements exist for the last 2–3 years</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Most lenders need a trend, not one year</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Financial statements agree with tax returns, or differences are explained</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Unexplained differences raise questions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Interim statements are less than 90 days old</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Shows current performance</w:t>
            </w:r>
          </w:p>
        </w:tc>
      </w:tr>
    </w:tbl>
    <w:p>
      <w:pPr>
        <w:pStyle w:val="Heading1"/>
        <w:spacing w:after="120" w:before="280"/>
      </w:pPr>
      <w:r>
        <w:t xml:space="preserve">2. Cash flow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4399"/>
        <w:gridCol w:w="439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Readiness item</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Why it matters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know your average monthly cash inflows and outflows</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The basis of any repayment plan</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keep a cash forecast for at least the next 13 weeks</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Shows you manage liquidity</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Customers pay within your stated terms most of the time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Slow collections strain repayment</w:t>
            </w:r>
          </w:p>
        </w:tc>
      </w:tr>
    </w:tbl>
    <w:p>
      <w:pPr>
        <w:pStyle w:val="Heading1"/>
        <w:spacing w:after="120" w:before="280"/>
      </w:pPr>
      <w:r>
        <w:t xml:space="preserve">3. Debt capacity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4399"/>
        <w:gridCol w:w="439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Readiness item</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Why it matters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have a complete schedule of existing debts and payments</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Lenders need total debt service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Cash flow covers existing and proposed debt payments with a cushion</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Many lenders look for coverage of 1.20x–1.25x or more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No payments on existing debts are past due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Recent late payments weigh heavily</w:t>
            </w:r>
          </w:p>
        </w:tc>
      </w:tr>
    </w:tbl>
    <w:p>
      <w:pPr>
        <w:pStyle w:val="Heading1"/>
        <w:spacing w:after="120" w:before="280"/>
      </w:pPr>
      <w:r>
        <w:t xml:space="preserve">4. Capital purpose and amount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4399"/>
        <w:gridCol w:w="439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Readiness item</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Why it matters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can state exactly how much you need</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Vague requests are rarely approved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Every use of funds is itemized and supported by quotes</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Shows the amount is realistic</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know how the capital will produce the cash to repay it or create value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Lenders and investors fund a plan, not a need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are contributing some of your own money</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Owner contribution shows commitment</w:t>
            </w:r>
          </w:p>
        </w:tc>
      </w:tr>
    </w:tbl>
    <w:p>
      <w:pPr>
        <w:pStyle w:val="Heading1"/>
        <w:spacing w:after="120" w:before="280"/>
      </w:pPr>
      <w:r>
        <w:t xml:space="preserve">5. Documentation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4399"/>
        <w:gridCol w:w="439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Readiness item</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Why it matters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Formation documents and ownership records are current and in one place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Required at the start of any review</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Each owner of 20% or more has a current personal financial statement</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Guarantors are commonly required</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have a written business plan or funding proposal</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Explains the story behind the numbers</w:t>
            </w:r>
          </w:p>
        </w:tc>
      </w:tr>
    </w:tbl>
    <w:p>
      <w:pPr>
        <w:pStyle w:val="Heading1"/>
        <w:spacing w:after="120" w:before="280"/>
      </w:pPr>
      <w:r>
        <w:t xml:space="preserve">6. Management and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4399"/>
        <w:gridCol w:w="4399"/>
      </w:tblGrid>
      <w:tr>
        <w:trPr>
          <w:tblHeader/>
        </w:trPr>
        <w:tc>
          <w:tcPr>
            <w:tcW w:type="dxa" w:w="562"/>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Readiness item</w:t>
            </w:r>
          </w:p>
        </w:tc>
        <w:tc>
          <w:tcPr>
            <w:tcW w:type="dxa" w:w="4399"/>
            <w:tcBorders>
              <w:top w:val="single" w:color="BFC7D1" w:sz="4"/>
              <w:left w:val="single" w:color="BFC7D1" w:sz="4"/>
              <w:bottom w:val="single" w:color="BFC7D1" w:sz="4"/>
              <w:right w:val="single" w:color="BFC7D1" w:sz="4"/>
            </w:tcBorders>
            <w:shd w:fill="1E3A8A"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Why it matters</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Someone other than the person recording payments reviews the bank statements</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A basic internal control lenders value</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Spending above a set amount requires approval</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Shows discipline over cash</w:t>
            </w:r>
          </w:p>
        </w:tc>
      </w:tr>
      <w:tr>
        <w:trPr>
          <w:cantSplit/>
        </w:trPr>
        <w:tc>
          <w:tcPr>
            <w:tcW w:type="dxa" w:w="562"/>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center"/>
            </w:pPr>
            <w:r>
              <w:rPr>
                <w:rFonts w:ascii="Arial" w:cs="Arial" w:eastAsia="Arial" w:hAnsi="Arial"/>
                <w:b w:val="false"/>
                <w:bCs w:val="false"/>
                <w:color w:val="000000"/>
                <w:sz w:val="19"/>
                <w:szCs w:val="19"/>
              </w:rPr>
              <w:t xml:space="preserve">☐</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You review financial results every month</w:t>
            </w:r>
          </w:p>
        </w:tc>
        <w:tc>
          <w:tcPr>
            <w:tcW w:type="dxa" w:w="4399"/>
            <w:tcBorders>
              <w:top w:val="single" w:color="BFC7D1" w:sz="4"/>
              <w:left w:val="single" w:color="BFC7D1" w:sz="4"/>
              <w:bottom w:val="single" w:color="BFC7D1" w:sz="4"/>
              <w:right w:val="single" w:color="BFC7D1" w:sz="4"/>
            </w:tcBorders>
            <w:tcMar>
              <w:top w:type="dxa" w:w="60"/>
              <w:left w:type="dxa" w:w="100"/>
              <w:bottom w:type="dxa" w:w="60"/>
              <w:right w:type="dxa" w:w="100"/>
            </w:tcMar>
          </w:tcPr>
          <w:p>
            <w:pPr>
              <w:jc w:val="left"/>
            </w:pPr>
            <w:r>
              <w:rPr>
                <w:rFonts w:ascii="Arial" w:cs="Arial" w:eastAsia="Arial" w:hAnsi="Arial"/>
                <w:b w:val="false"/>
                <w:bCs w:val="false"/>
                <w:color w:val="000000"/>
                <w:sz w:val="19"/>
                <w:szCs w:val="19"/>
              </w:rPr>
              <w:t xml:space="preserve">Problems are caught early</w:t>
            </w:r>
          </w:p>
        </w:tc>
      </w:tr>
    </w:tbl>
    <w:p>
      <w:pPr>
        <w:pStyle w:val="Heading1"/>
        <w:spacing w:after="120" w:before="280"/>
      </w:pPr>
      <w:r>
        <w:t xml:space="preserve">Disclaimer</w:t>
      </w:r>
    </w:p>
    <w:p>
      <w:pPr>
        <w:spacing w:after="120"/>
      </w:pPr>
      <w:r>
        <w:rPr>
          <w:rFonts w:ascii="Arial" w:cs="Arial" w:eastAsia="Arial" w:hAnsi="Arial"/>
          <w:color w:val="555555"/>
          <w:sz w:val="18"/>
          <w:szCs w:val="18"/>
        </w:rPr>
        <w:t xml:space="preserve">Educational resource. Requirements vary by lender, investor, loan program and transaction. This checklist does not predict approval and is not legal, tax or investment advice. Business Capital Blueprint prepares educational tools and documents only and does not introduce, refer or solicit lenders or investors.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777777"/>
        <w:sz w:val="16"/>
        <w:szCs w:val="16"/>
      </w:rPr>
      <w:t xml:space="preserve">Business Capital Blueprint · Capital Readiness Checklist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Arial" w:cs="Arial" w:eastAsia="Arial" w:hAnsi="Arial"/>
      <w:b/>
      <w:bCs/>
      <w:color w:val="1E3A8A"/>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E3A8A"/>
      <w:sz w:val="28"/>
      <w:szCs w:val="28"/>
    </w:rPr>
  </w:style>
  <w:style w:type="paragraph" w:styleId="Heading2">
    <w:name w:val="Heading 2"/>
    <w:basedOn w:val="Normal"/>
    <w:next w:val="Normal"/>
    <w:qFormat/>
    <w:pPr>
      <w:spacing w:after="80" w:before="200"/>
      <w:outlineLvl w:val="1"/>
    </w:pPr>
    <w:rPr>
      <w:rFonts w:ascii="Arial" w:cs="Arial" w:eastAsia="Arial" w:hAnsi="Arial"/>
      <w:b/>
      <w:bCs/>
      <w:color w:val="1E3A8A"/>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2026-10-12T15:26:34.338Z</dcterms:created>
  <dcterms:modified xsi:type="dcterms:W3CDTF">2026-10-12T15:26:34.338Z</dcterms:modified>
</cp:coreProperties>
</file>

<file path=docProps/custom.xml><?xml version="1.0" encoding="utf-8"?>
<Properties xmlns="http://schemas.openxmlformats.org/officeDocument/2006/custom-properties" xmlns:vt="http://schemas.openxmlformats.org/officeDocument/2006/docPropsVTypes"/>
</file>